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7CDA8764" w:rsidR="0055681A" w:rsidRDefault="00E80578" w:rsidP="0055681A">
            <w:pPr>
              <w:pBdr>
                <w:top w:val="nil"/>
                <w:left w:val="nil"/>
                <w:bottom w:val="nil"/>
                <w:right w:val="nil"/>
                <w:between w:val="nil"/>
              </w:pBdr>
              <w:jc w:val="center"/>
              <w:rPr>
                <w:color w:val="000000"/>
              </w:rPr>
            </w:pPr>
            <w:r>
              <w:rPr>
                <w:color w:val="000000"/>
              </w:rPr>
              <w:t>60/</w:t>
            </w:r>
            <w:r w:rsidR="0055681A">
              <w:rPr>
                <w:color w:val="000000"/>
              </w:rPr>
              <w:t>200č-</w:t>
            </w:r>
            <w:r w:rsidR="00FD2243">
              <w:rPr>
                <w:color w:val="000000"/>
              </w:rPr>
              <w:t xml:space="preserve"> 800č </w:t>
            </w:r>
            <w:r w:rsidR="0055681A">
              <w:rPr>
                <w:color w:val="000000"/>
              </w:rPr>
              <w:t>-</w:t>
            </w:r>
            <w:r w:rsidR="00ED6983">
              <w:rPr>
                <w:color w:val="000000"/>
              </w:rPr>
              <w:t>2</w:t>
            </w:r>
            <w:r w:rsidR="0055681A">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2E3BFE8B" w:rsidR="0055681A" w:rsidRDefault="0055681A" w:rsidP="0055681A">
            <w:pPr>
              <w:pBdr>
                <w:top w:val="nil"/>
                <w:left w:val="nil"/>
                <w:bottom w:val="nil"/>
                <w:right w:val="nil"/>
                <w:between w:val="nil"/>
              </w:pBdr>
              <w:jc w:val="center"/>
              <w:rPr>
                <w:color w:val="000000"/>
              </w:rPr>
            </w:pPr>
            <w:r>
              <w:rPr>
                <w:color w:val="000000"/>
              </w:rPr>
              <w:t>300-</w:t>
            </w:r>
            <w:r w:rsidR="00FD2243">
              <w:rPr>
                <w:color w:val="000000"/>
              </w:rPr>
              <w:t xml:space="preserve"> jūdze č </w:t>
            </w:r>
            <w:r>
              <w:rPr>
                <w:color w:val="000000"/>
              </w:rPr>
              <w:t>-</w:t>
            </w:r>
            <w:r w:rsidR="00ED6983">
              <w:rPr>
                <w:color w:val="000000"/>
              </w:rPr>
              <w:t>3</w:t>
            </w:r>
            <w:r>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2047F41F" w:rsidR="0055681A" w:rsidRDefault="0055681A" w:rsidP="0055681A">
            <w:pPr>
              <w:pBdr>
                <w:top w:val="nil"/>
                <w:left w:val="nil"/>
                <w:bottom w:val="nil"/>
                <w:right w:val="nil"/>
                <w:between w:val="nil"/>
              </w:pBdr>
              <w:jc w:val="center"/>
            </w:pPr>
            <w:r>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lastRenderedPageBreak/>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lastRenderedPageBreak/>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lastRenderedPageBreak/>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27D53C89"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w:t>
      </w:r>
      <w:r w:rsidR="00FD2243">
        <w:rPr>
          <w:color w:val="000000"/>
        </w:rPr>
        <w:t xml:space="preserve">Pieteikumu pieņemšana tiks pārtraukta divas </w:t>
      </w:r>
      <w:r>
        <w:rPr>
          <w:color w:val="000000"/>
        </w:rPr>
        <w:t>diena</w:t>
      </w:r>
      <w:r w:rsidR="00FD2243">
        <w:rPr>
          <w:color w:val="000000"/>
        </w:rPr>
        <w:t>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36053B"/>
    <w:rsid w:val="0040272B"/>
    <w:rsid w:val="004029D3"/>
    <w:rsid w:val="004A3BBE"/>
    <w:rsid w:val="0055681A"/>
    <w:rsid w:val="008F48E5"/>
    <w:rsid w:val="00956AE6"/>
    <w:rsid w:val="00B63840"/>
    <w:rsid w:val="00C71CF0"/>
    <w:rsid w:val="00CC7A58"/>
    <w:rsid w:val="00D55632"/>
    <w:rsid w:val="00D91660"/>
    <w:rsid w:val="00DC67CD"/>
    <w:rsid w:val="00E80578"/>
    <w:rsid w:val="00EB4A57"/>
    <w:rsid w:val="00ED6983"/>
    <w:rsid w:val="00F03834"/>
    <w:rsid w:val="00F331D7"/>
    <w:rsid w:val="00FD2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2022-05-25T06:23:00Z</cp:lastPrinted>
  <dcterms:created xsi:type="dcterms:W3CDTF">2022-06-19T15:29:00Z</dcterms:created>
  <dcterms:modified xsi:type="dcterms:W3CDTF">2022-06-26T13:07:00Z</dcterms:modified>
</cp:coreProperties>
</file>